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für die studentischen Vertreterinnen und Vertreter des 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Fachschaftsrates </w:t>
      </w:r>
      <w:r>
        <w:rPr>
          <w:rFonts w:cs="Arial" w:ascii="Arial" w:hAnsi="Arial"/>
          <w:b/>
          <w:sz w:val="28"/>
          <w:szCs w:val="28"/>
        </w:rPr>
        <w:t xml:space="preserve">Maschinenbau </w:t>
      </w:r>
      <w:r>
        <w:rPr>
          <w:rFonts w:cs="Arial" w:ascii="Arial" w:hAnsi="Arial"/>
          <w:b/>
          <w:sz w:val="28"/>
          <w:szCs w:val="28"/>
        </w:rPr>
        <w:t xml:space="preserve">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>Mehrheitswahl, 3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4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2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6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50,00%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Reinhardt, Fabian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Hunger, Bastian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Fritze, Jens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 xml:space="preserve">Gewählt 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LibreOffice/4.3.3.2$Linux_X86_64 LibreOffice_project/430m0$Build-2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2018-12-12T10:31:32Z</dcterms:modified>
  <cp:revision>28</cp:revision>
  <dc:title>Wahlausschreibung</dc:title>
</cp:coreProperties>
</file>