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cs="Arial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center" w:pos="4819" w:leader="none"/>
        </w:tabs>
        <w:spacing w:before="240" w:after="0"/>
        <w:jc w:val="center"/>
        <w:rPr>
          <w:sz w:val="44"/>
          <w:b/>
          <w:sz w:val="44"/>
          <w:b/>
          <w:szCs w:val="44"/>
          <w:rFonts w:ascii="Arial" w:hAnsi="Arial" w:cs="Arial"/>
        </w:rPr>
      </w:pPr>
      <w:r>
        <w:rPr>
          <w:rFonts w:cs="Arial" w:ascii="Arial" w:hAnsi="Arial"/>
          <w:b/>
          <w:sz w:val="44"/>
          <w:szCs w:val="44"/>
        </w:rPr>
        <w:t>Wahlergebnisse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sz w:val="28"/>
          <w:szCs w:val="28"/>
          <w:rFonts w:ascii="Arial" w:hAnsi="Arial" w:cs="Arial"/>
        </w:rPr>
      </w:pPr>
      <w:r>
        <w:rPr>
          <w:rFonts w:cs="Arial" w:ascii="Arial" w:hAnsi="Arial"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b/>
          <w:sz w:val="28"/>
          <w:b/>
          <w:szCs w:val="28"/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  <w:t xml:space="preserve">der Wahl der studentischen Vertreterinnen und Vertreter in den          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b/>
          <w:sz w:val="28"/>
          <w:b/>
          <w:szCs w:val="28"/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b/>
          <w:sz w:val="28"/>
          <w:b/>
          <w:szCs w:val="28"/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  <w:t>Fachschaftsrat der Fakultät Geoinformation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cs="Arial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  <w:t>Mehrheitswahl, 10 Sitze</w:t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Wahlberechtigten: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333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Wähler: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18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ungültigen Stimmzettel</w:t>
            </w:r>
            <w:bookmarkStart w:id="0" w:name="_GoBack"/>
            <w:bookmarkEnd w:id="0"/>
            <w:r>
              <w:rPr>
                <w:rFonts w:cs="Arial" w:ascii="Arial" w:hAnsi="Arial"/>
                <w:spacing w:val="-3"/>
                <w:sz w:val="22"/>
                <w:szCs w:val="22"/>
              </w:rPr>
              <w:t>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gültigen Stimmen insgesamt: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54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Wahlbeteiligung: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5,68 %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07"/>
        <w:gridCol w:w="3212"/>
      </w:tblGrid>
      <w:tr>
        <w:trPr/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Cieslack, Daniel</w:t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20</w:t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Aurisch, Julia</w:t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12</w:t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Papenfuß, Lisa</w:t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9</w:t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Kallisch, Elisa</w:t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8</w:t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Wolf, Noah</w:t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5</w:t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ab/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0" w:after="120"/>
        <w:jc w:val="both"/>
        <w:rPr>
          <w:sz w:val="24"/>
          <w:sz w:val="24"/>
          <w:rFonts w:ascii="Courier" w:hAnsi="Courier"/>
        </w:rPr>
      </w:pPr>
      <w:r>
        <w:rPr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rFonts w:ascii="Arial" w:hAnsi="Arial" w:cs="Arial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3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true"/>
      <w:bidi w:val="0"/>
      <w:jc w:val="left"/>
      <w:textAlignment w:val="baseline"/>
    </w:pPr>
    <w:rPr>
      <w:rFonts w:ascii="Courier" w:hAnsi="Courier" w:eastAsia="Times New Roman" w:cs="Times New Roman"/>
      <w:color w:val="auto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character" w:styleId="Endnotenzeichen">
    <w:name w:val="Endnotenzeichen"/>
    <w:rPr/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LibreOffice/4.3.3.2$Linux_X86_64 LibreOffice_project/430m0$Build-2</Application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2018-10-26T11:41:00Z</dcterms:created>
  <dc:creator>Verwaltung</dc:creator>
  <dc:language>de-DE</dc:language>
  <cp:lastModifiedBy>Thiele, Stephanie</cp:lastModifiedBy>
  <cp:lastPrinted>2018-11-26T10:00:00Z</cp:lastPrinted>
  <dcterms:modified xsi:type="dcterms:W3CDTF">2018-11-26T10:00:00Z</dcterms:modified>
  <cp:revision>7</cp:revision>
  <dc:title>Wahlausschreibung</dc:title>
</cp:coreProperties>
</file>